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E40C1A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E40C1A" w:rsidRPr="00E40C1A" w:rsidRDefault="00E40C1A" w:rsidP="00E40C1A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E40C1A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E40C1A" w:rsidRPr="00E40C1A" w:rsidRDefault="00E40C1A" w:rsidP="00E40C1A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E40C1A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E40C1A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E40C1A" w:rsidRPr="00E40C1A" w:rsidRDefault="00E40C1A" w:rsidP="00E40C1A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2541AC" w:rsidRPr="00B31443" w:rsidRDefault="002541AC" w:rsidP="002541AC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B31443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Multidisciplinary approach to solving complex environmental problems </w:t>
      </w:r>
    </w:p>
    <w:p w:rsidR="002541AC" w:rsidRPr="0067059E" w:rsidRDefault="002541AC" w:rsidP="002541AC">
      <w:pPr>
        <w:spacing w:after="0" w:line="240" w:lineRule="auto"/>
        <w:jc w:val="both"/>
        <w:rPr>
          <w:b/>
          <w:sz w:val="24"/>
          <w:szCs w:val="24"/>
        </w:rPr>
      </w:pPr>
      <w:r w:rsidRPr="0067059E">
        <w:rPr>
          <w:b/>
          <w:sz w:val="24"/>
          <w:szCs w:val="24"/>
        </w:rPr>
        <w:t>CFU 2 (16 ore)</w:t>
      </w:r>
    </w:p>
    <w:p w:rsidR="002541AC" w:rsidRPr="00E702A0" w:rsidRDefault="002541AC" w:rsidP="002541AC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E702A0">
        <w:rPr>
          <w:b/>
          <w:sz w:val="24"/>
          <w:szCs w:val="24"/>
          <w:lang w:val="en-US"/>
        </w:rPr>
        <w:t>SSD: ING-IND/22, ICAR/03 and ICAR/02</w:t>
      </w:r>
    </w:p>
    <w:p w:rsidR="002541AC" w:rsidRPr="0067059E" w:rsidRDefault="002541AC" w:rsidP="002541AC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31443">
        <w:rPr>
          <w:b/>
          <w:sz w:val="24"/>
          <w:szCs w:val="24"/>
          <w:lang w:val="en-GB"/>
        </w:rPr>
        <w:t>Abstract:</w:t>
      </w:r>
      <w:r>
        <w:rPr>
          <w:b/>
          <w:sz w:val="24"/>
          <w:szCs w:val="24"/>
          <w:lang w:val="en-GB"/>
        </w:rPr>
        <w:t xml:space="preserve"> </w:t>
      </w:r>
      <w:r w:rsidRPr="00B31443">
        <w:rPr>
          <w:sz w:val="24"/>
          <w:szCs w:val="24"/>
          <w:lang w:val="en-GB"/>
        </w:rPr>
        <w:t xml:space="preserve">Environmental issues are generally complex and, in most cases, require multidisciplinary skills. The optimal solution is the result of a broader </w:t>
      </w:r>
      <w:proofErr w:type="gramStart"/>
      <w:r w:rsidRPr="00B31443">
        <w:rPr>
          <w:sz w:val="24"/>
          <w:szCs w:val="24"/>
          <w:lang w:val="en-GB"/>
        </w:rPr>
        <w:t>evaluation which</w:t>
      </w:r>
      <w:proofErr w:type="gramEnd"/>
      <w:r w:rsidRPr="00B31443">
        <w:rPr>
          <w:sz w:val="24"/>
          <w:szCs w:val="24"/>
          <w:lang w:val="en-GB"/>
        </w:rPr>
        <w:t xml:space="preserve"> affects more thematic areas such as environmental, economic and social, paradigm of sustainable development. Additionally, regarding a fixed environmental matrix, such as water, it may involve </w:t>
      </w:r>
      <w:proofErr w:type="gramStart"/>
      <w:r w:rsidRPr="00B31443">
        <w:rPr>
          <w:sz w:val="24"/>
          <w:szCs w:val="24"/>
          <w:lang w:val="en-GB"/>
        </w:rPr>
        <w:t>more professional profiles, from the chemical to the biologist, from the engineer to the physical</w:t>
      </w:r>
      <w:proofErr w:type="gramEnd"/>
      <w:r w:rsidRPr="00B31443">
        <w:rPr>
          <w:sz w:val="24"/>
          <w:szCs w:val="24"/>
          <w:lang w:val="en-GB"/>
        </w:rPr>
        <w:t xml:space="preserve">. </w:t>
      </w:r>
    </w:p>
    <w:p w:rsidR="002541AC" w:rsidRPr="00B31443" w:rsidRDefault="002541AC" w:rsidP="002541AC">
      <w:pPr>
        <w:spacing w:after="0" w:line="240" w:lineRule="auto"/>
        <w:jc w:val="both"/>
        <w:rPr>
          <w:sz w:val="24"/>
          <w:szCs w:val="24"/>
          <w:lang w:val="en-GB"/>
        </w:rPr>
      </w:pPr>
      <w:r w:rsidRPr="00B31443">
        <w:rPr>
          <w:sz w:val="24"/>
          <w:szCs w:val="24"/>
          <w:lang w:val="en-GB"/>
        </w:rPr>
        <w:t xml:space="preserve">In this context, the course aims to present and analyse examples of multidisciplinary approaches applied to solving complex environmental problems. The presence of a total environment, intended as presence of different thematic areas connected to each other, is the common element in all the case studies addressed.  </w:t>
      </w:r>
    </w:p>
    <w:p w:rsidR="002541AC" w:rsidRPr="00B31443" w:rsidRDefault="002541AC" w:rsidP="002541AC">
      <w:pPr>
        <w:spacing w:after="0" w:line="240" w:lineRule="auto"/>
        <w:jc w:val="both"/>
        <w:rPr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Program</w:t>
      </w:r>
      <w:r w:rsidRPr="00B31443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 w:rsidRPr="00B31443">
        <w:rPr>
          <w:sz w:val="24"/>
          <w:szCs w:val="24"/>
          <w:lang w:val="en-GB"/>
        </w:rPr>
        <w:t>In the specific, the following issues will be addressed: (</w:t>
      </w:r>
      <w:proofErr w:type="spellStart"/>
      <w:r w:rsidRPr="00B31443">
        <w:rPr>
          <w:sz w:val="24"/>
          <w:szCs w:val="24"/>
          <w:lang w:val="en-GB"/>
        </w:rPr>
        <w:t>i</w:t>
      </w:r>
      <w:proofErr w:type="spellEnd"/>
      <w:r w:rsidRPr="00B31443">
        <w:rPr>
          <w:sz w:val="24"/>
          <w:szCs w:val="24"/>
          <w:lang w:val="en-GB"/>
        </w:rPr>
        <w:t xml:space="preserve">) Use of renewable energies for wastewater treatment and reuse in agriculture; (ii) Remediation of contaminated soil, the case </w:t>
      </w:r>
      <w:r>
        <w:rPr>
          <w:sz w:val="24"/>
          <w:szCs w:val="24"/>
          <w:lang w:val="en-GB"/>
        </w:rPr>
        <w:t xml:space="preserve">study of the “Terra </w:t>
      </w:r>
      <w:proofErr w:type="spellStart"/>
      <w:r>
        <w:rPr>
          <w:sz w:val="24"/>
          <w:szCs w:val="24"/>
          <w:lang w:val="en-GB"/>
        </w:rPr>
        <w:t>dei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fuochi</w:t>
      </w:r>
      <w:proofErr w:type="spellEnd"/>
      <w:r>
        <w:rPr>
          <w:sz w:val="24"/>
          <w:szCs w:val="24"/>
          <w:lang w:val="en-GB"/>
        </w:rPr>
        <w:t>”</w:t>
      </w:r>
      <w:r w:rsidRPr="00B31443">
        <w:rPr>
          <w:sz w:val="24"/>
          <w:szCs w:val="24"/>
          <w:lang w:val="en-GB"/>
        </w:rPr>
        <w:t xml:space="preserve"> in the Campania Region; (iii) Assessment of public perception in support to social acceptance of technological solutions: the case study of actions concerning the water and solid waste minimization implemented in the island of </w:t>
      </w:r>
      <w:proofErr w:type="spellStart"/>
      <w:r w:rsidRPr="00B31443">
        <w:rPr>
          <w:sz w:val="24"/>
          <w:szCs w:val="24"/>
          <w:lang w:val="en-GB"/>
        </w:rPr>
        <w:t>Favignana</w:t>
      </w:r>
      <w:proofErr w:type="spellEnd"/>
      <w:r w:rsidRPr="00B31443">
        <w:rPr>
          <w:sz w:val="24"/>
          <w:szCs w:val="24"/>
          <w:lang w:val="en-GB"/>
        </w:rPr>
        <w:t xml:space="preserve"> (Egadi Islands, Sicily); (iv) Siting of the municipal solid waste treatment and disposal facilities in the context of industrialized countries.</w:t>
      </w:r>
      <w:proofErr w:type="gramEnd"/>
    </w:p>
    <w:p w:rsidR="002541AC" w:rsidRPr="00B31443" w:rsidRDefault="002541AC" w:rsidP="002541AC">
      <w:pPr>
        <w:spacing w:after="0" w:line="240" w:lineRule="auto"/>
        <w:jc w:val="both"/>
        <w:rPr>
          <w:sz w:val="24"/>
          <w:szCs w:val="24"/>
          <w:lang w:val="en-US"/>
        </w:rPr>
      </w:pPr>
      <w:r w:rsidRPr="00B31443">
        <w:rPr>
          <w:sz w:val="24"/>
          <w:szCs w:val="24"/>
          <w:lang w:val="en-US"/>
        </w:rPr>
        <w:t xml:space="preserve">The various case discussions will emphasize experiences in research conceptualization, project design and execution, main findings, policy advice and surplus value, and difficulties met. Conclusions and recommendations </w:t>
      </w:r>
      <w:proofErr w:type="gramStart"/>
      <w:r w:rsidRPr="00B31443">
        <w:rPr>
          <w:sz w:val="24"/>
          <w:szCs w:val="24"/>
          <w:lang w:val="en-US"/>
        </w:rPr>
        <w:t>will be presented</w:t>
      </w:r>
      <w:proofErr w:type="gramEnd"/>
      <w:r w:rsidRPr="00B31443">
        <w:rPr>
          <w:sz w:val="24"/>
          <w:szCs w:val="24"/>
          <w:lang w:val="en-US"/>
        </w:rPr>
        <w:t xml:space="preserve"> about the practice of multidisciplinary research. Finally, some challenges for research and development about environmental sustainability </w:t>
      </w:r>
      <w:proofErr w:type="gramStart"/>
      <w:r w:rsidRPr="00B31443">
        <w:rPr>
          <w:sz w:val="24"/>
          <w:szCs w:val="24"/>
          <w:lang w:val="en-US"/>
        </w:rPr>
        <w:t>will be discussed</w:t>
      </w:r>
      <w:proofErr w:type="gramEnd"/>
      <w:r w:rsidRPr="00B31443">
        <w:rPr>
          <w:sz w:val="24"/>
          <w:szCs w:val="24"/>
          <w:lang w:val="en-US"/>
        </w:rPr>
        <w:t>.</w:t>
      </w:r>
    </w:p>
    <w:p w:rsidR="00920CE2" w:rsidRPr="002F2E72" w:rsidRDefault="00920CE2" w:rsidP="002541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val="en-US"/>
        </w:rPr>
      </w:pPr>
    </w:p>
    <w:sectPr w:rsidR="00920CE2" w:rsidRPr="002F2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94"/>
    <w:multiLevelType w:val="hybridMultilevel"/>
    <w:tmpl w:val="299CAC74"/>
    <w:lvl w:ilvl="0" w:tplc="01F6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D1723"/>
    <w:multiLevelType w:val="hybridMultilevel"/>
    <w:tmpl w:val="424E1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7F3"/>
    <w:multiLevelType w:val="hybridMultilevel"/>
    <w:tmpl w:val="94BA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48E0"/>
    <w:multiLevelType w:val="hybridMultilevel"/>
    <w:tmpl w:val="4364C384"/>
    <w:lvl w:ilvl="0" w:tplc="2B60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2380B"/>
    <w:multiLevelType w:val="hybridMultilevel"/>
    <w:tmpl w:val="5E068EEA"/>
    <w:lvl w:ilvl="0" w:tplc="29FAB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77F8"/>
    <w:multiLevelType w:val="hybridMultilevel"/>
    <w:tmpl w:val="55A63F68"/>
    <w:lvl w:ilvl="0" w:tplc="7208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21694A"/>
    <w:rsid w:val="002541AC"/>
    <w:rsid w:val="002F2E72"/>
    <w:rsid w:val="004B779C"/>
    <w:rsid w:val="004C085A"/>
    <w:rsid w:val="00723558"/>
    <w:rsid w:val="00761478"/>
    <w:rsid w:val="008A241F"/>
    <w:rsid w:val="00920CE2"/>
    <w:rsid w:val="0096305C"/>
    <w:rsid w:val="00B857E5"/>
    <w:rsid w:val="00C465D4"/>
    <w:rsid w:val="00CB426B"/>
    <w:rsid w:val="00D84808"/>
    <w:rsid w:val="00E40C1A"/>
    <w:rsid w:val="00E871F1"/>
    <w:rsid w:val="00EC21C7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2017-05-17T07:47:00Z</dcterms:created>
  <dcterms:modified xsi:type="dcterms:W3CDTF">2017-05-17T08:33:00Z</dcterms:modified>
</cp:coreProperties>
</file>